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BA3" w:rsidRDefault="00793BA3" w:rsidP="004F6CAC">
      <w:pPr>
        <w:suppressAutoHyphens/>
        <w:spacing w:after="0" w:line="360" w:lineRule="auto"/>
        <w:ind w:left="142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Załącznik nr 2</w:t>
      </w:r>
    </w:p>
    <w:p w:rsidR="00793BA3" w:rsidRPr="00F7510A" w:rsidRDefault="00793BA3" w:rsidP="005C5C9A">
      <w:pPr>
        <w:numPr>
          <w:ilvl w:val="0"/>
          <w:numId w:val="1"/>
        </w:numPr>
        <w:suppressAutoHyphens/>
        <w:spacing w:after="0" w:line="360" w:lineRule="auto"/>
        <w:ind w:left="567" w:hanging="425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7510A">
        <w:rPr>
          <w:rFonts w:ascii="Times New Roman" w:hAnsi="Times New Roman"/>
          <w:b/>
          <w:sz w:val="24"/>
          <w:szCs w:val="24"/>
          <w:lang w:eastAsia="ar-SA"/>
        </w:rPr>
        <w:t>OPIS PRZEDMIOTU ZAMÓWIENIA</w:t>
      </w:r>
    </w:p>
    <w:p w:rsidR="00793BA3" w:rsidRDefault="00793BA3" w:rsidP="005C5C9A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510A">
        <w:rPr>
          <w:rFonts w:ascii="Times New Roman" w:hAnsi="Times New Roman"/>
          <w:sz w:val="24"/>
          <w:szCs w:val="24"/>
        </w:rPr>
        <w:t xml:space="preserve">Przedmiotem zamówienia jest dostawa fabrycznie </w:t>
      </w:r>
      <w:r>
        <w:rPr>
          <w:rFonts w:ascii="Times New Roman" w:hAnsi="Times New Roman"/>
          <w:sz w:val="24"/>
          <w:szCs w:val="24"/>
        </w:rPr>
        <w:t>nowego samochodu brygadowego/ ciężarowego</w:t>
      </w:r>
      <w:r w:rsidRPr="00F7510A">
        <w:rPr>
          <w:rFonts w:ascii="Times New Roman" w:hAnsi="Times New Roman"/>
          <w:sz w:val="24"/>
          <w:szCs w:val="24"/>
        </w:rPr>
        <w:t xml:space="preserve">, </w:t>
      </w:r>
      <w:r w:rsidRPr="00F7510A">
        <w:rPr>
          <w:rFonts w:ascii="Times New Roman" w:hAnsi="Times New Roman"/>
          <w:sz w:val="24"/>
          <w:szCs w:val="24"/>
          <w:lang w:eastAsia="pl-PL"/>
        </w:rPr>
        <w:t>rok produkcji 2019</w:t>
      </w:r>
      <w:r w:rsidR="000632F2">
        <w:rPr>
          <w:rFonts w:ascii="Times New Roman" w:hAnsi="Times New Roman"/>
          <w:sz w:val="24"/>
          <w:szCs w:val="24"/>
          <w:lang w:eastAsia="pl-PL"/>
        </w:rPr>
        <w:t xml:space="preserve"> lub 2018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 – sztuk 1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:rsidR="00793BA3" w:rsidRPr="00C06E51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C06E51">
        <w:rPr>
          <w:rFonts w:ascii="Times New Roman" w:hAnsi="Times New Roman"/>
          <w:b/>
          <w:sz w:val="24"/>
          <w:szCs w:val="24"/>
          <w:lang w:eastAsia="pl-PL"/>
        </w:rPr>
        <w:t>Wymagane parametry techniczne przedmiotu zamówienia: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niezależne przednie zawieszenie z regulowanym drążkiem skrętnym umocowanym do podłużnicy ramy pojazdu zintegrowane z teleskopowym amortyzatorem dwustronnego działania,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paraboliczne tylne zawieszenie piórowe, sztywna belka tylnej osi. Hydrauliczne amortyzatory dwustronnego działania,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podwozie dwuosiowe,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kabina siedmioosobowa,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silnik diesel spełniający normę EURO 6,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moc silnika minimum 150</w:t>
      </w:r>
      <w:r w:rsidR="000A0070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KM</w:t>
      </w:r>
      <w:r w:rsidR="000A0070">
        <w:rPr>
          <w:rFonts w:ascii="Times New Roman" w:hAnsi="Times New Roman"/>
          <w:sz w:val="24"/>
          <w:szCs w:val="24"/>
          <w:lang w:eastAsia="pl-PL"/>
        </w:rPr>
        <w:t>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skrzynia biegów manualna,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dopuszczalna masa całkowita pojazdu maksimum 3,5 t,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napęd na tylną oś z kołami bliźniaczymi,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rozmiar opon minimum </w:t>
      </w:r>
      <w:smartTag w:uri="urn:schemas-microsoft-com:office:smarttags" w:element="metricconverter">
        <w:smartTagPr>
          <w:attr w:name="ProductID" w:val="16”"/>
        </w:smartTagPr>
        <w:r>
          <w:rPr>
            <w:rFonts w:ascii="Times New Roman" w:hAnsi="Times New Roman"/>
            <w:sz w:val="24"/>
            <w:szCs w:val="24"/>
            <w:lang w:eastAsia="pl-PL"/>
          </w:rPr>
          <w:t>16”</w:t>
        </w:r>
      </w:smartTag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hak holowniczy kulowy oraz instalacja elektryczna umożliwiająca podpięcie przyczepy,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wspomaganie kierowcy,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poduszka powietrzna kierowcy,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osłona miski olejowej,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hamulce tarczowe wentylowane z przodu i z tyłu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wzmocnione tylne zawieszenie,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skrzynka narzędziowa zamykana na klucz,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kolor nadwozia: szary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światła do jazdy dziennej włączana automatycznie,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system zapobiegania staczania się pojazdu podczas ruszania,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wyposażenie dodatkowe: klimatyzacja, szyby elektryczne, elektryczne podgrzewane lusterka, radio, amortyzowany fotel kierowcy,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-system zapobiegania zablokowaniu poszczególnych kół przy hamowaniu,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elektroniczny system stabilizacji toru jazdy,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system rozdzielający siłę hamowania między osią przednią i tylną,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>- system zwiększający ciśnienie w układzie hamulcowym podczas gwałtownego hamowania,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osłona kabiny z siatki stalowej ocynkowanej, nadkola z tworzywa sztucznego, 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samochód wyposażony w gaśnicę, trójkąt, apteczkę oraz komplet gumowych chodników w kabinie,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komplet opon zimowych,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belka świetlna na dachu z napisem PUK Bodzentyn,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9A4B6F">
        <w:rPr>
          <w:rFonts w:ascii="Times New Roman" w:hAnsi="Times New Roman"/>
          <w:b/>
          <w:sz w:val="24"/>
          <w:szCs w:val="24"/>
          <w:lang w:eastAsia="pl-PL"/>
        </w:rPr>
        <w:t>Charakterystyka nadwozia: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długość wewnętrzna </w:t>
      </w:r>
      <w:smartTag w:uri="urn:schemas-microsoft-com:office:smarttags" w:element="metricconverter">
        <w:smartTagPr>
          <w:attr w:name="ProductID" w:val="2600 mm"/>
        </w:smartTagPr>
        <w:r>
          <w:rPr>
            <w:rFonts w:ascii="Times New Roman" w:hAnsi="Times New Roman"/>
            <w:sz w:val="24"/>
            <w:szCs w:val="24"/>
            <w:lang w:eastAsia="pl-PL"/>
          </w:rPr>
          <w:t>2600 mm</w:t>
        </w:r>
      </w:smartTag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szerokość wewnętrzna </w:t>
      </w:r>
      <w:smartTag w:uri="urn:schemas-microsoft-com:office:smarttags" w:element="metricconverter">
        <w:smartTagPr>
          <w:attr w:name="ProductID" w:val="2000 mm"/>
        </w:smartTagPr>
        <w:r>
          <w:rPr>
            <w:rFonts w:ascii="Times New Roman" w:hAnsi="Times New Roman"/>
            <w:sz w:val="24"/>
            <w:szCs w:val="24"/>
            <w:lang w:eastAsia="pl-PL"/>
          </w:rPr>
          <w:t>2000 mm</w:t>
        </w:r>
      </w:smartTag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wysokość wewnętrzna </w:t>
      </w:r>
      <w:smartTag w:uri="urn:schemas-microsoft-com:office:smarttags" w:element="metricconverter">
        <w:smartTagPr>
          <w:attr w:name="ProductID" w:val="1500 mm"/>
        </w:smartTagPr>
        <w:r>
          <w:rPr>
            <w:rFonts w:ascii="Times New Roman" w:hAnsi="Times New Roman"/>
            <w:sz w:val="24"/>
            <w:szCs w:val="24"/>
            <w:lang w:eastAsia="pl-PL"/>
          </w:rPr>
          <w:t>1500 mm</w:t>
        </w:r>
      </w:smartTag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wysokość burt </w:t>
      </w:r>
      <w:smartTag w:uri="urn:schemas-microsoft-com:office:smarttags" w:element="metricconverter">
        <w:smartTagPr>
          <w:attr w:name="ProductID" w:val="400 mm"/>
        </w:smartTagPr>
        <w:r>
          <w:rPr>
            <w:rFonts w:ascii="Times New Roman" w:hAnsi="Times New Roman"/>
            <w:sz w:val="24"/>
            <w:szCs w:val="24"/>
            <w:lang w:eastAsia="pl-PL"/>
          </w:rPr>
          <w:t>400 mm</w:t>
        </w:r>
      </w:smartTag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ładowność określona po kompletacji pojazdu,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konstrukcja ramy pośredniej aluminiowa, skręcana, 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podłoga ze sklejki antypoślizgowej o grubości </w:t>
      </w:r>
      <w:smartTag w:uri="urn:schemas-microsoft-com:office:smarttags" w:element="metricconverter">
        <w:smartTagPr>
          <w:attr w:name="ProductID" w:val="18 mm"/>
        </w:smartTagPr>
        <w:r>
          <w:rPr>
            <w:rFonts w:ascii="Times New Roman" w:hAnsi="Times New Roman"/>
            <w:sz w:val="24"/>
            <w:szCs w:val="24"/>
            <w:lang w:eastAsia="pl-PL"/>
          </w:rPr>
          <w:t>18 mm</w:t>
        </w:r>
      </w:smartTag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burty aluminiowe anodowane z zamknięciami kasetowymi,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burty boczne niedzielone, zamknięcia burt pionowe,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stelaż plandeki aluminiowy, słupy środkowe wypinane, rząd listew aluminiowych,</w:t>
      </w:r>
    </w:p>
    <w:p w:rsidR="00793BA3" w:rsidRDefault="00793BA3" w:rsidP="00C06E51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plandeka klejona w szarym kolorze z białym świetlikiem w dachu, </w:t>
      </w:r>
      <w:r w:rsidR="005707E9">
        <w:rPr>
          <w:rFonts w:ascii="Times New Roman" w:hAnsi="Times New Roman"/>
          <w:sz w:val="24"/>
          <w:szCs w:val="24"/>
          <w:lang w:eastAsia="pl-PL"/>
        </w:rPr>
        <w:t>automatycznie zwijana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793BA3" w:rsidRDefault="00793BA3" w:rsidP="009A4B6F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przednia ściana powyżej burty ze sklejki wodoodpornej do wysokości </w:t>
      </w:r>
      <w:smartTag w:uri="urn:schemas-microsoft-com:office:smarttags" w:element="metricconverter">
        <w:smartTagPr>
          <w:attr w:name="ProductID" w:val="1500 mm"/>
        </w:smartTagPr>
        <w:r>
          <w:rPr>
            <w:rFonts w:ascii="Times New Roman" w:hAnsi="Times New Roman"/>
            <w:sz w:val="24"/>
            <w:szCs w:val="24"/>
            <w:lang w:eastAsia="pl-PL"/>
          </w:rPr>
          <w:t>1500 mm</w:t>
        </w:r>
      </w:smartTag>
      <w:r>
        <w:rPr>
          <w:rFonts w:ascii="Times New Roman" w:hAnsi="Times New Roman"/>
          <w:sz w:val="24"/>
          <w:szCs w:val="24"/>
          <w:lang w:eastAsia="pl-PL"/>
        </w:rPr>
        <w:t xml:space="preserve"> od podłogi,</w:t>
      </w:r>
    </w:p>
    <w:p w:rsidR="00793BA3" w:rsidRDefault="00793BA3" w:rsidP="009A4B6F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uchwyty do mocowania ładunku montowane w obrzeżu co </w:t>
      </w:r>
      <w:smartTag w:uri="urn:schemas-microsoft-com:office:smarttags" w:element="metricconverter">
        <w:smartTagPr>
          <w:attr w:name="ProductID" w:val="50 cm"/>
        </w:smartTagPr>
        <w:r>
          <w:rPr>
            <w:rFonts w:ascii="Times New Roman" w:hAnsi="Times New Roman"/>
            <w:sz w:val="24"/>
            <w:szCs w:val="24"/>
            <w:lang w:eastAsia="pl-PL"/>
          </w:rPr>
          <w:t>50 cm</w:t>
        </w:r>
      </w:smartTag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793BA3" w:rsidRDefault="00793BA3" w:rsidP="009A4B6F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światła obrysowe (diodowe) i odblaskowe podświetlane elektrycznie zgodnie z PRD,</w:t>
      </w:r>
    </w:p>
    <w:p w:rsidR="00793BA3" w:rsidRDefault="00793BA3" w:rsidP="009A4B6F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skrzynia narzędziowa zamykana na klucz  szt. 1,</w:t>
      </w:r>
    </w:p>
    <w:p w:rsidR="00793BA3" w:rsidRDefault="00793BA3" w:rsidP="009A4B6F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stopień wejściowy na tylnej burcie,</w:t>
      </w:r>
    </w:p>
    <w:p w:rsidR="00793BA3" w:rsidRDefault="00793BA3" w:rsidP="009A4B6F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listwy przeciw najazdowe ( BUZ) aluminiowe na wspornikach ruchomych,</w:t>
      </w:r>
    </w:p>
    <w:p w:rsidR="00793BA3" w:rsidRDefault="00793BA3" w:rsidP="009A4B6F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nadkola z tworzyw z fartuchami przeciw błotnymi,</w:t>
      </w:r>
    </w:p>
    <w:p w:rsidR="00793BA3" w:rsidRDefault="00793BA3" w:rsidP="009A4B6F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homologacje UE.</w:t>
      </w:r>
    </w:p>
    <w:p w:rsidR="00793BA3" w:rsidRDefault="00793BA3" w:rsidP="009A4B6F">
      <w:pPr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93BA3" w:rsidRDefault="00793BA3" w:rsidP="00EB00A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ab/>
        <w:t xml:space="preserve">Wymagane kryteria uwzględniające wymogi wynikające z Rozporządzenia Prezesa Rady Ministrów z dnia 10 maja 2011r. w sprawach innych niż cena obowiązkowych </w:t>
      </w:r>
      <w:r>
        <w:rPr>
          <w:rFonts w:ascii="Times New Roman" w:hAnsi="Times New Roman"/>
          <w:sz w:val="24"/>
          <w:szCs w:val="24"/>
          <w:lang w:eastAsia="pl-PL"/>
        </w:rPr>
        <w:lastRenderedPageBreak/>
        <w:t xml:space="preserve">kryteriów oceny oferty w odniesieniu do niektórych rodzajów zamówień publicznych (Dz. U. z 2011r., nr 96, poz. 559) oferowanego pojazdu. </w:t>
      </w:r>
    </w:p>
    <w:p w:rsidR="00793BA3" w:rsidRDefault="00793BA3" w:rsidP="00EB00A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ab/>
        <w:t>Zużycie energii (wyrażone w MJ/km)- z dokładnością do dwóch miejsc po przecinku) nie większe niż 3,72 MJ/km.</w:t>
      </w:r>
    </w:p>
    <w:p w:rsidR="00793BA3" w:rsidRDefault="00793BA3" w:rsidP="00EB00A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ab/>
        <w:t>Samochód musi spełniać wymagania techniczne określone przez obowiązujące w Polsce przepisy dla pojazdów poruszających się po drogach publicznych, w tym warunki techniczne wynikające z ustawy z dnia 20 czerwca 19976r. Prawo o ruchu drogowym oraz Rozporządzeń wykonawczych do tej ustawy w tym posiadać homologację, wystawioną zgodnie z art. 68 ustawy Prawo o ruchu drogowym.</w:t>
      </w:r>
    </w:p>
    <w:p w:rsidR="00793BA3" w:rsidRDefault="00793BA3" w:rsidP="00EB00A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93BA3" w:rsidRPr="009500F4" w:rsidRDefault="00793BA3" w:rsidP="00D27441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9500F4">
        <w:rPr>
          <w:rFonts w:ascii="Times New Roman" w:hAnsi="Times New Roman"/>
          <w:b/>
          <w:sz w:val="24"/>
          <w:szCs w:val="24"/>
          <w:lang w:eastAsia="pl-PL"/>
        </w:rPr>
        <w:t>Wykonawca zapewnia:</w:t>
      </w:r>
    </w:p>
    <w:p w:rsidR="00793BA3" w:rsidRPr="009500F4" w:rsidRDefault="00793BA3" w:rsidP="00D27441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500F4"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99599B" w:rsidRPr="009500F4">
        <w:rPr>
          <w:rFonts w:ascii="Times New Roman" w:hAnsi="Times New Roman"/>
          <w:sz w:val="24"/>
          <w:szCs w:val="24"/>
          <w:lang w:eastAsia="pl-PL"/>
        </w:rPr>
        <w:t>W</w:t>
      </w:r>
      <w:r w:rsidRPr="009500F4">
        <w:rPr>
          <w:rFonts w:ascii="Times New Roman" w:hAnsi="Times New Roman"/>
          <w:sz w:val="24"/>
          <w:szCs w:val="24"/>
          <w:lang w:eastAsia="pl-PL"/>
        </w:rPr>
        <w:t>ykonawca ponosi koszty dostawy oraz rozładunku przedmiotu zamówienia,</w:t>
      </w:r>
    </w:p>
    <w:p w:rsidR="00793BA3" w:rsidRPr="009500F4" w:rsidRDefault="00793BA3" w:rsidP="00612B69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500F4"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99599B" w:rsidRPr="009500F4">
        <w:rPr>
          <w:rFonts w:ascii="Times New Roman" w:hAnsi="Times New Roman"/>
          <w:sz w:val="24"/>
          <w:szCs w:val="24"/>
          <w:lang w:eastAsia="pl-PL"/>
        </w:rPr>
        <w:t>W</w:t>
      </w:r>
      <w:r w:rsidRPr="009500F4">
        <w:rPr>
          <w:rFonts w:ascii="Times New Roman" w:hAnsi="Times New Roman"/>
          <w:sz w:val="24"/>
          <w:szCs w:val="24"/>
          <w:lang w:eastAsia="pl-PL"/>
        </w:rPr>
        <w:t>ykonawca w dniu odbioru, przeszkoli nieodpłatnie kierowców w zakresie prawidłowej i bezpiecznej  eksploatacji i obsługi pojazdu,</w:t>
      </w:r>
    </w:p>
    <w:p w:rsidR="00793BA3" w:rsidRDefault="00793BA3" w:rsidP="00612B69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500F4"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99599B" w:rsidRPr="009500F4">
        <w:rPr>
          <w:rFonts w:ascii="Times New Roman" w:hAnsi="Times New Roman"/>
          <w:sz w:val="24"/>
          <w:szCs w:val="24"/>
          <w:lang w:eastAsia="pl-PL"/>
        </w:rPr>
        <w:t>W</w:t>
      </w:r>
      <w:r w:rsidRPr="009500F4">
        <w:rPr>
          <w:rFonts w:ascii="Times New Roman" w:hAnsi="Times New Roman"/>
          <w:sz w:val="24"/>
          <w:szCs w:val="24"/>
          <w:lang w:eastAsia="pl-PL"/>
        </w:rPr>
        <w:t>ykonawca gwarantuje, że samochód będący przedmiotem zamówienia jest  wolny od wad konstrukcyjnych, materiałowych, wykonawczych i prawnych,</w:t>
      </w:r>
    </w:p>
    <w:p w:rsidR="00793BA3" w:rsidRDefault="00793BA3" w:rsidP="00EB05C2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w dniu odbioru Wykonawca przekaże Zamawiającemu komplet kluczyków oraz następujące dokumenty (w języku polskim): komplet dokumentów niezbędny do zarejestrowania pojazdu, dokumenty określające warunki serwisowania gwarancyjnego i pogwarancyjnego, wyciąg ze świadectwa homologacji dla kompletnego pojazdu wydany przez Ministerstwo Infrastruktur, instrukcje obsługi pojazdu z charakterystyką techniczno-eksploatacyjną. </w:t>
      </w:r>
    </w:p>
    <w:p w:rsidR="00793BA3" w:rsidRDefault="00793BA3" w:rsidP="00EB05C2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EB05C2">
        <w:rPr>
          <w:rFonts w:ascii="Times New Roman" w:hAnsi="Times New Roman"/>
          <w:b/>
          <w:sz w:val="24"/>
          <w:szCs w:val="24"/>
          <w:lang w:eastAsia="pl-PL"/>
        </w:rPr>
        <w:t>Gwarancja:</w:t>
      </w:r>
    </w:p>
    <w:p w:rsidR="00793BA3" w:rsidRDefault="00793BA3" w:rsidP="00EB05C2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9500F4">
        <w:rPr>
          <w:rFonts w:ascii="Times New Roman" w:hAnsi="Times New Roman"/>
          <w:sz w:val="24"/>
          <w:szCs w:val="24"/>
          <w:lang w:eastAsia="pl-PL"/>
        </w:rPr>
        <w:t>W</w:t>
      </w:r>
      <w:r>
        <w:rPr>
          <w:rFonts w:ascii="Times New Roman" w:hAnsi="Times New Roman"/>
          <w:sz w:val="24"/>
          <w:szCs w:val="24"/>
          <w:lang w:eastAsia="pl-PL"/>
        </w:rPr>
        <w:t>ykonawca zapewni udzielenie gwarancji na przedmiot zamówienia na okres minimum 24 miesięcy licząc od daty odbioru przedmiotu zamówienia,</w:t>
      </w:r>
    </w:p>
    <w:p w:rsidR="00793BA3" w:rsidRDefault="00793BA3" w:rsidP="00EB05C2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9500F4">
        <w:rPr>
          <w:rFonts w:ascii="Times New Roman" w:hAnsi="Times New Roman"/>
          <w:sz w:val="24"/>
          <w:szCs w:val="24"/>
          <w:lang w:eastAsia="pl-PL"/>
        </w:rPr>
        <w:t>W</w:t>
      </w:r>
      <w:r>
        <w:rPr>
          <w:rFonts w:ascii="Times New Roman" w:hAnsi="Times New Roman"/>
          <w:sz w:val="24"/>
          <w:szCs w:val="24"/>
          <w:lang w:eastAsia="pl-PL"/>
        </w:rPr>
        <w:t>ykonawca ponosi wszystkie koszty naprawy przedmiotu zamówienia w okresie udzielonej gwarancji,</w:t>
      </w:r>
    </w:p>
    <w:p w:rsidR="00793BA3" w:rsidRDefault="00793BA3" w:rsidP="00EB05C2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9500F4">
        <w:rPr>
          <w:rFonts w:ascii="Times New Roman" w:hAnsi="Times New Roman"/>
          <w:sz w:val="24"/>
          <w:szCs w:val="24"/>
          <w:lang w:eastAsia="pl-PL"/>
        </w:rPr>
        <w:t>W</w:t>
      </w:r>
      <w:r>
        <w:rPr>
          <w:rFonts w:ascii="Times New Roman" w:hAnsi="Times New Roman"/>
          <w:sz w:val="24"/>
          <w:szCs w:val="24"/>
          <w:lang w:eastAsia="pl-PL"/>
        </w:rPr>
        <w:t>ykonawca zapewni nieodpłatny serwis gwarancyjny w siedzibie Zamawiającego (dotyczy nieodpłatnie: dojazdu, zaopatrzenia w części zamienne, materiały eksploatacyjne oraz robocizny przez cały okres udzielonej przez wykonawcę gwarancji),</w:t>
      </w:r>
    </w:p>
    <w:p w:rsidR="00793BA3" w:rsidRDefault="00793BA3" w:rsidP="00EB05C2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czas przystąpienia do serwisu naprawy ( w okresie trwania gwarancji) wynosi maksimum 48 godzin od zgłoszenia przez Zamawiającego, natomiast czas dokonania naprawy wynosi maksimum 10 dni od momentu zgłoszenia.</w:t>
      </w:r>
    </w:p>
    <w:p w:rsidR="00793BA3" w:rsidRDefault="00793BA3" w:rsidP="00C271D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 xml:space="preserve">- w przypadku braku możliwości usunięcia awarii w ciągu 10 dni roboczych od chwili jej zgłoszenia przez Zamawiającego , Wykonawca ma obowiązek dostarczyć w ciągu 24 godzin na swój koszt (na czas trwania naprawy) sprawny technicznie pojazd zastępczy o parametrach nie gorszych od opisanych w </w:t>
      </w:r>
      <w:r w:rsidRPr="000A0070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>Opisie przedmiotu zamówienia</w:t>
      </w:r>
      <w:r w:rsidR="009500F4" w:rsidRPr="000A0070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>.</w:t>
      </w:r>
      <w:r>
        <w:rPr>
          <w:rFonts w:ascii="Times New Roman" w:hAnsi="Times New Roman"/>
          <w:sz w:val="24"/>
          <w:szCs w:val="24"/>
          <w:lang w:eastAsia="pl-PL"/>
        </w:rPr>
        <w:t xml:space="preserve"> W przypadku niedostarczenia pojazdu, o którym mowa powyżej, zamawiający ma prawo do wynajęcia pojazdu tej samej klasy (na czas trwania naprawy) na koszt Wykonawcy, po uprzednim zawiadomieniu go drogą elektroniczną.</w:t>
      </w:r>
    </w:p>
    <w:p w:rsidR="00793BA3" w:rsidRPr="00014607" w:rsidRDefault="00793BA3" w:rsidP="005C5C9A">
      <w:pPr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Nazwy materiałów, urządzeń lub producentów, które mogą pojawić się w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zaproszeniu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i </w:t>
      </w:r>
      <w:r>
        <w:rPr>
          <w:rFonts w:ascii="Times New Roman" w:hAnsi="Times New Roman"/>
          <w:sz w:val="24"/>
          <w:szCs w:val="24"/>
          <w:shd w:val="clear" w:color="auto" w:fill="FFFFFF"/>
        </w:rPr>
        <w:t>jego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załącznikach nie należy traktować jako narzuconych bądź sugerowanych przez zamawiającego.</w:t>
      </w:r>
    </w:p>
    <w:p w:rsidR="00793BA3" w:rsidRPr="00014607" w:rsidRDefault="00793BA3" w:rsidP="005C5C9A">
      <w:pPr>
        <w:spacing w:line="360" w:lineRule="auto"/>
        <w:ind w:left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Wszędzie tam, gdzie w przedmiocie zamówienia występuje nazwa, norma, aprobata techniczna itp., Zamawiający dopuszcza rozwiązania równoważne z opisywanym. W przypadku gdy </w:t>
      </w:r>
      <w:r w:rsidR="009500F4">
        <w:rPr>
          <w:rFonts w:ascii="Times New Roman" w:hAnsi="Times New Roman"/>
          <w:sz w:val="24"/>
          <w:szCs w:val="24"/>
          <w:shd w:val="clear" w:color="auto" w:fill="FFFFFF"/>
        </w:rPr>
        <w:t>Z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amawiający użył w opisie przedmiotu zamówienia oznaczeń norm, aprobat, specyfikacji technicznych i systemów odniesienia, o których mowa w art. 30 ust. 1-3 ustawy </w:t>
      </w:r>
      <w:proofErr w:type="spellStart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należy je rozumieć jako przykładowe. Zamawiający zgodnie z art. 30 ust. 4 ustawy </w:t>
      </w:r>
      <w:proofErr w:type="spellStart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dopuszcza w każdym przypadku zastosowanie rozwiązań równoważnych opisywanym w treści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zaproszenia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>. Każdorazowo gdy wskazana jest w niniejsz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ym zaproszeniu 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lub załącznikach do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zaproszenia 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norma, należy przyjąć, że w odniesieniu do niej użyto sformułowania „lub równoważna”. Wykonawca, który powołuje się na rozwiązania równoważne z opisywanym przez Zamawiającego jest obowiązany wykazać, że oferowane przez niego materiały, urządzenia, roboty budowlane spełniają wymagania określone przez Zamawiającego.  </w:t>
      </w:r>
    </w:p>
    <w:p w:rsidR="00793BA3" w:rsidRDefault="00793BA3" w:rsidP="005C5C9A">
      <w:pPr>
        <w:jc w:val="both"/>
      </w:pPr>
    </w:p>
    <w:sectPr w:rsidR="00793BA3" w:rsidSect="00A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36057"/>
    <w:multiLevelType w:val="hybridMultilevel"/>
    <w:tmpl w:val="79CC2054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632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9ED088D"/>
    <w:multiLevelType w:val="hybridMultilevel"/>
    <w:tmpl w:val="6AE09EE4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025DC"/>
    <w:multiLevelType w:val="hybridMultilevel"/>
    <w:tmpl w:val="8AF0BA7E"/>
    <w:lvl w:ilvl="0" w:tplc="86BEBD8E">
      <w:start w:val="1"/>
      <w:numFmt w:val="lowerLetter"/>
      <w:lvlText w:val="%1)"/>
      <w:lvlJc w:val="left"/>
      <w:pPr>
        <w:ind w:left="11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4" w15:restartNumberingAfterBreak="0">
    <w:nsid w:val="5F2C73DE"/>
    <w:multiLevelType w:val="hybridMultilevel"/>
    <w:tmpl w:val="9528B320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2117E"/>
    <w:multiLevelType w:val="hybridMultilevel"/>
    <w:tmpl w:val="81A282AE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3C5E"/>
    <w:rsid w:val="00014607"/>
    <w:rsid w:val="000632F2"/>
    <w:rsid w:val="000A0070"/>
    <w:rsid w:val="00131430"/>
    <w:rsid w:val="001F0159"/>
    <w:rsid w:val="00202BAC"/>
    <w:rsid w:val="002356B0"/>
    <w:rsid w:val="00283C5E"/>
    <w:rsid w:val="00304386"/>
    <w:rsid w:val="0039797F"/>
    <w:rsid w:val="004F6CAC"/>
    <w:rsid w:val="00547D3D"/>
    <w:rsid w:val="005707E9"/>
    <w:rsid w:val="005C5C9A"/>
    <w:rsid w:val="00612B69"/>
    <w:rsid w:val="00680524"/>
    <w:rsid w:val="007516D6"/>
    <w:rsid w:val="00753CBB"/>
    <w:rsid w:val="00791CAE"/>
    <w:rsid w:val="00793BA3"/>
    <w:rsid w:val="009500F4"/>
    <w:rsid w:val="0099599B"/>
    <w:rsid w:val="009A4B6F"/>
    <w:rsid w:val="009D4852"/>
    <w:rsid w:val="009E11BA"/>
    <w:rsid w:val="00A73CCA"/>
    <w:rsid w:val="00A9447C"/>
    <w:rsid w:val="00AE265D"/>
    <w:rsid w:val="00C06E51"/>
    <w:rsid w:val="00C271D1"/>
    <w:rsid w:val="00CF6FF0"/>
    <w:rsid w:val="00D27441"/>
    <w:rsid w:val="00EB00A4"/>
    <w:rsid w:val="00EB05C2"/>
    <w:rsid w:val="00F7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1988E4"/>
  <w15:docId w15:val="{8189FF50-CFBC-4103-80D6-1F48AAF3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3C5E"/>
    <w:pPr>
      <w:spacing w:after="160" w:line="25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043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4F6C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D78D0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53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971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Pisarczyk</dc:creator>
  <cp:keywords/>
  <dc:description/>
  <cp:lastModifiedBy>Monika Jamróz</cp:lastModifiedBy>
  <cp:revision>8</cp:revision>
  <dcterms:created xsi:type="dcterms:W3CDTF">2019-03-12T12:59:00Z</dcterms:created>
  <dcterms:modified xsi:type="dcterms:W3CDTF">2019-03-15T16:18:00Z</dcterms:modified>
</cp:coreProperties>
</file>